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" w:eastAsia="zh-CN"/>
        </w:rPr>
        <w:t>全市应急管理部门案件线索移交审查工作制度（试行）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第一条 为进一步深化全市应急管理行政执法体制改革，厘清日常监管与执法办案职责边界，规范案件线索移交和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程序，提升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监管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执法效能，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《中华人民共和国安全生产法》《中华人民共和国行政处罚法》《中华人民共和国行政强制法》的相关规定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结合工作实际，制定本制度。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第二条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各区、葛店经开区、临空经济区应急管理部门，市应急管理局相关业务科室和局属单位（以下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在开展日常监管、线索初核过程中，发现生产经营单位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和个人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涉嫌存在违法违规行为且应当给予行政处罚的案件线索，经市局政策法规科（以下简称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“法规科”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）审查通过，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市应急管理综合执法支队（以下简称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“执法支队”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移交，由执法支队负责案件的查处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移交单位向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移交案件线索的，应先对案件线索进行初步核查，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满足以下立案条件的方可进行移交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（一）有基本违法事实及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初步证据证明公民、法人组织或者其他组织有违法违规行为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（二）属于应急管理部门管辖范围；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依法应当给予行政处罚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（四）在案件追溯时效内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法律法规规章规定的其他条件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对证据可能灭失或者事后难以取证的，移交单位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应当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及时固定原始证据。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移交单位应当自发现违法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违规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行为之日起3个工作日内，向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提交《案件线索移交审查表》（见附件）及案件相关材料（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包括但不限于检查方案、现场检查记录、责令限期整改指令、现场照片、影像资料等相关证据材料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）。各区局移交的，需经本部门主要负责人同意并加盖公章；市局业务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科室和局属单位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移交的，需经分管领导同意。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法规科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接到移交案件线索后，应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当对立案条件、证据材料是否符合要求进行审查，并在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2个工作日内审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完毕。对符合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的，签署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同意接收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意见后，连同相关材料一并移交给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执法支队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；对不符合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的，签署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不予接收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意见并说明理由，连同相关材料一并退回移交单位。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第七条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执法支队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接到移交案件线索后，应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及时受理并按规定立案查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第八条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移交单位、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执法支队要严格依法履职，做到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职责明晰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、各负其责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，密切配合、相互协作，形成监管执法合力。移交单位负责案件线索相关的整改复查、执法检查信息的相关公示及系统录入，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应积极配合案件调查，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可邀请执法支队提前介入日常监管、线索初核及专项行动。执法支队负责行政处罚信息相关公示及系统录入，并在结案后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个工作日内将案件办理情况向移交单位反馈。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移交单位在日常监管、线索初核过程中，对现场确需采取查封、扣押等行政强制措施的，应及时报请市局并依据《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中华人民共和国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行政强制法》的相关规定执行。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第十条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本制度由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法规科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负责解释，自印发之日起执行。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案件线索移交审查表</w:t>
      </w:r>
    </w:p>
    <w:tbl>
      <w:tblPr>
        <w:tblStyle w:val="3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161"/>
        <w:gridCol w:w="1692"/>
        <w:gridCol w:w="1944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6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16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  <w:tc>
          <w:tcPr>
            <w:tcW w:w="5648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Style w:val="4"/>
                <w:rFonts w:hint="default" w:ascii="Times New Roman" w:hAnsi="Times New Roman" w:eastAsia="方正仿宋_GBK" w:cs="Times New Roman"/>
                <w:color w:val="000000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000000"/>
                <w:lang w:val="en-US" w:eastAsia="zh-CN" w:bidi="ar"/>
              </w:rPr>
              <w:t>身份证号</w:t>
            </w:r>
          </w:p>
        </w:tc>
        <w:tc>
          <w:tcPr>
            <w:tcW w:w="5648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住所（住址）</w:t>
            </w:r>
          </w:p>
        </w:tc>
        <w:tc>
          <w:tcPr>
            <w:tcW w:w="5648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2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其他联系方式</w:t>
            </w:r>
          </w:p>
        </w:tc>
        <w:tc>
          <w:tcPr>
            <w:tcW w:w="2012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4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涉嫌违法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违规行为</w:t>
            </w:r>
          </w:p>
        </w:tc>
        <w:tc>
          <w:tcPr>
            <w:tcW w:w="5648" w:type="dxa"/>
            <w:gridSpan w:val="3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246" w:type="dxa"/>
            <w:tcBorders>
              <w:top w:val="single" w:color="00000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案件线索移交单位意 见</w:t>
            </w:r>
          </w:p>
        </w:tc>
        <w:tc>
          <w:tcPr>
            <w:tcW w:w="3853" w:type="dxa"/>
            <w:gridSpan w:val="2"/>
            <w:tcBorders>
              <w:top w:val="single" w:color="000001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该行为涉嫌违反《中华人民共和国安全生产法》第X条第X款第X项的规定，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符合立案条件，建议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案件线索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 办 人：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日</w:t>
            </w:r>
          </w:p>
        </w:tc>
        <w:tc>
          <w:tcPr>
            <w:tcW w:w="3956" w:type="dxa"/>
            <w:gridSpan w:val="2"/>
            <w:tcBorders>
              <w:top w:val="single" w:color="00000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该案件线索是/否符合立案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，是/否同意移交。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负责人签字（盖章）：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案件线索审查单位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见</w:t>
            </w:r>
          </w:p>
        </w:tc>
        <w:tc>
          <w:tcPr>
            <w:tcW w:w="78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经审查，该案件线索是/否符合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立案条件，证据材料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符合接收要求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，是/否同意接收。（如不予接收，需说明理由）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法规科签字（盖章）：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0223"/>
    <w:rsid w:val="2D6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2024-08-02T08:45:00Z</dcterms:created>
  <dc:creator>HUAWEI</dc:creator>
  <cp:lastModifiedBy>HUAWEI</cp:lastModifiedBy>
  <dcterms:modified xsi:type="dcterms:W3CDTF">2024-08-02T08:45:55Z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